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97</w:t>
      </w:r>
    </w:p>
    <w:p>
      <w:r>
        <w:t>Bundesgericht (BGE), 1998-01-30, DE</w:t>
      </w:r>
    </w:p>
    <w:p>
      <w:r>
        <w:rPr>
          <w:b/>
        </w:rPr>
        <w:t xml:space="preserve">Quelle: </w:t>
      </w:r>
      <w:r>
        <w:t>https://mcp.opencaselaw.ch/entscheid/bge_124 III 97</w:t>
      </w:r>
    </w:p>
    <w:p>
      <w:r>
        <w:t>FR: ATF 124 III 97</w:t>
      </w:r>
    </w:p>
    <w:p>
      <w:r>
        <w:t>IT: DTF 124 III 97</w:t>
      </w:r>
    </w:p>
    <w:p>
      <w:pPr>
        <w:pStyle w:val="Heading2"/>
      </w:pPr>
      <w:r>
        <w:t>Regeste</w:t>
      </w:r>
    </w:p>
    <w:p>
      <w:r>
        <w:t>Regeste Stiftungsaufsicht; Überprüfung der Kapitalanlagepolitik einer Stiftung (Art. 84 Abs. 2 ZGB). Es verstösst nicht gegen Bundesrecht, bei der Beurteilung der Anlagepolitik einer "gewöhnlichen" oder "klassischen" Stiftung die für Personalvorsorgestiftungen geltenden Anlagevorschriften der Verordnung über die berufliche Alters-, Hinterlassenen- und Invalidenvorsorge (BVV 2) als Orientierungshilfe beizuziehen (E. 2). Anwendung im konkreten Fall (E. 3).</w:t>
      </w:r>
    </w:p>
    <w:p>
      <w:pPr>
        <w:pStyle w:val="Heading2"/>
      </w:pPr>
      <w:r>
        <w:t>Erwägungen</w:t>
      </w:r>
    </w:p>
    <w:p>
      <w:r>
        <w:rPr>
          <w:b/>
        </w:rPr>
        <w:t>E. 2</w:t>
      </w:r>
    </w:p>
    <w:p>
      <w:r>
        <w:t>a) Das Bundesrecht enthält bezüglich der hier in Frage stehenden sogenannten "gewöhnlichen" oder "klassischen" Stiftungen keine Vorschriften über die Vermögensanlage; so verhält es sich auch im Recht des Kantons Graubünden. Aus der Pflicht der Stiftungsaufsichtsbehörden, für eine zweckgemässe Verwendung des Stiftungsvermögens zu sorgen ( Art. 84 Abs. 2 ZGB ), wird jedoch abgeleitet, Stiftungen hätten bei ihrer Kapitalanlagepolitik generell die Grundsätze der Sicherheit, Rentabilität, Liquidität, Risikoverteilung und Substanzerhaltung zu beachten (vgl. BGE 99 Ib 255 E. 3-5; BGE 108 II 254 E. 5bb S. 268 und insbes. BGE 108 II 352 E. 5a S. 359 mit Hinweisen; VEB 30/1961 Nr. 45 S. 78; RIEMER, Berner Kommentar, N. 68 ff. zu Art. 84 ZGB ; GRÜNINGER, in: Kommentar zum Schweizerischen Privatrecht, Basel 1996, N. 14 zu Art. 84 ZGB ); dabei können die verschiedenen Grundsätze miteinander in Konflikt geraten, insbesondere auch jener der Sicherheit mit jenem der Rentabilität (vgl. BGE 99 Ib 261 ). Stets sind die genannten Grundsätze in Berücksichtigung der gesamten Umstände in einer Weise anzuwenden, dass dem Stiftungszweck dauernd Nachachtung verschafft werden kann, wobei auch der Grundsatz der Verhältnismässigkeit zu beachten ist ( BGE 108 II 352 E. 5a S. 359 mit Hinweisen). b) Anders als für die "gewöhnlichen" bzw. "klassischen" Stiftungen enthält das Bundesrecht seit 1985 in Art. 49 ff. der Verordnung über die berufliche Alters-, Hinterlassenen- und Invalidenvorsorge (BVV 2; SR 831.441.1) für Personalvorsorgestiftungen detaillierte Kapitalanlagevorschriften. Während die erste und die zweite kantonale Instanz die genannten Vorschriften der BVV 2 auf die Beschwerdeführerin analog anwenden wollten, hat das Kantonsgericht diese Analogie erheblich relativiert und diese Normen lediglich als eine Art Orientierungshilfe betrachtet. c) Entgegen den Ausführungen in der Beschwerde ist eine Berücksichtigung von Art. 49 ff. BVV 2 als Orientierungshilfe bundesrechtlich nicht zu beanstanden, stellen sich doch trotz aller sonstigen Unterschiede zwischen gewöhnlichen und Personalvorsorgestiftungen bei beiden Stiftungsarten vergleichbare Probleme im Zusammenhang mit der Sicherheit von Kapitalanlagen. Abgesehen davon dürfte diese Orientierungshilfe den Aufsichtsbehörden eine objektivere Beurteilung in bezug auf die Sicherheit der Anlage von Stiftungsvermögen ermöglichen. BGE 124 III 97 S. 100</w:t>
      </w:r>
    </w:p>
    <w:p>
      <w:r>
        <w:rPr>
          <w:b/>
        </w:rPr>
        <w:t>E. 3</w:t>
      </w:r>
    </w:p>
    <w:p>
      <w:r>
        <w:t>a) In Berücksichtigung der BVV 2-Vorschriften hat die Vorinstanz die Kapitalanlagepolitik der Stiftung unter dem Gesichtswinkel der Risikoverteilung und der Sicherheit kritisiert. Sie hat dabei nicht verkannt, dass die Anlagen nach einem Schreiben der Z. vom 5. Mai 1997 an sich eine hohe Sicherheit aufweisen; beanstandet wurde jedoch, dass praktisch das gesamte Vermögen bei ausländischen Schuldnern, und zwar gegen die Hälfte in DM und erst noch bei einem einzigen Schuldner, angelegt ist. Für die andere Hälfte sei zwar eine Anlage in sFr. erfolgt, jedoch je ungefähr zur Hälfte bei nur zwei Schuldnern. b) Diese Ausführungen kritisiert die Beschwerdeführerin; sie weist dabei einerseits auf ihren hohen Ertragsbedarf hin, den sie zur Deckung der beträchtlichen Kosten für den Unterhalt der Gebäulichkeiten in Y. und für den Erhalt des Umschwungs, der besonderen Strassen, Wege und Brücken benötigt; anderseits betont sie die effektive Bonität ihrer Schuldner. c) Diese Rügen sind indessen nicht geeignet, das Urteil der Vorinstanz als bundesrechtswidrig erscheinen zu lassen. Vor allem verkennt die Beschwerdeführerin ihr hohes Fremdwährungs- bzw. Wechselkursrisiko, welches um so mehr ins Gewicht fällt, als die Stiftung ihre Verpflichtungen grundsätzlich im Inland erfüllen muss; unter diesem Gesichtswinkel dürfte sie allein seit Ende 1996, als der Umrechnungskurs gemäss dem von ihr selbst eingereichten Anlageverzeichnis der Z. DM 100 = sFr. 86.80 betrug, bereits erhebliche Verluste an Kapital und Ertrag erlitten haben. Sodann befindet sich die Beschwerdeführerin mit ihrem Anteil an Fremdwährung von gegen 50% weit ausserhalb der Limite von 20% gemäss Art. 54 lit. f BVV 2 , was somit auch dann zu beanstanden ist, wenn man diese Grenzwerte lediglich als Orientierungshilfe betrachtet (vgl. E. 2c hievor). Entsprechendes gilt für die Auslandsanlagen der Stiftung insgesamt, zumal fast 100% der Wertschriften im Ausland angelegt sind, während dieser Anteil laut Art. 54 lit. e BVV 2 lediglich 30% betragen darf. Unter dem Gesichtswinkel von Risikoverteilung und Sicherheit kritisierte die Vorinstanz schliesslich zu Recht, dass das Wertschriftenvermögen der Stiftung bei insgesamt lediglich drei Schuldnern angelegt ist; einerseits sehen Art. 54 lit. e und f BVV 2 nur gerade einen Anlageanteil von 5% pro Schuldner vor; anderseits ist in diesem Zusammenhang auf das Schreiben der Z. vom 5. Mai 1997 zu verweisen, das zwar die Bonität der berücksichtigten Unternehmen bejaht, jedoch eine Verteilung der Anlage auf insgesamt vier bis fünf Schuldner in Erwägung zieht. BGE 124 III 97 S. 101 Im Ergebnis ist somit der vorinstanzliche Entscheid nicht zu beanstanden, zumal die Art der Kapitalanlage der Beschwerdeführerin zu sehr von den BVV 2-Vorschriften abweicht.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